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60" w:right="0" w:hanging="891.9999999999999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60" w:right="0" w:hanging="891.9999999999999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Утфелемешалка МУ60.</w:t>
      </w:r>
      <w:r w:rsidDel="00000000" w:rsidR="00000000" w:rsidRPr="00000000">
        <w:drawing>
          <wp:anchor allowOverlap="1" behindDoc="0" distB="0" distT="0" distL="294640" distR="1471930" hidden="0" layoutInCell="1" locked="0" relativeHeight="0" simplePos="0">
            <wp:simplePos x="0" y="0"/>
            <wp:positionH relativeFrom="margin">
              <wp:posOffset>294640</wp:posOffset>
            </wp:positionH>
            <wp:positionV relativeFrom="paragraph">
              <wp:posOffset>457200</wp:posOffset>
            </wp:positionV>
            <wp:extent cx="4100830" cy="3873500"/>
            <wp:effectExtent b="0" l="0" r="0" t="0"/>
            <wp:wrapTopAndBottom distB="0" dist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00830" cy="3873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60" w:right="0" w:hanging="891.9999999999999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60" w:right="0" w:hanging="891.9999999999999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60" w:right="0" w:hanging="891.9999999999999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60" w:right="0" w:hanging="891.9999999999999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Технические характеристики: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13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13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Объем утфеля,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3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  - 60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13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Привод: мотор-редуктор                                       - Nord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13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Мощность привода, кВт                                        - 5,5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13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Частота вращения вала мешалки, об/мин            - 0,78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13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Масса пустой мешалки, кг                                    - 15 700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13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Длина мешалки полная, мм                                  - 9780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13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Длина корпуса мешалки, мм                                 - 8880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13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Внутренний диаметр, мм                                       - 3000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13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Толщина стенки (обечайки), мм                           - 10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13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Толщина стенки боковой, мм                                - 20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13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134" w:right="0" w:firstLine="113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Данное оборудование поставлено на следующий завод: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13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- 2018 г. на ЗАО «Кшенский сахарный завод», в количестве 2-х шт. </w:t>
      </w:r>
      <w:r w:rsidDel="00000000" w:rsidR="00000000" w:rsidRPr="00000000">
        <w:rPr>
          <w:rtl w:val="0"/>
        </w:rPr>
      </w:r>
    </w:p>
    <w:sectPr>
      <w:pgSz w:h="16840" w:w="11900"/>
      <w:pgMar w:bottom="1587" w:top="284" w:left="2234" w:right="424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